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F707D" w14:textId="77777777" w:rsidR="00CE4090" w:rsidRDefault="00CE4090" w:rsidP="00CE4090">
      <w:pPr>
        <w:pStyle w:val="numbering"/>
        <w:numPr>
          <w:ilvl w:val="0"/>
          <w:numId w:val="0"/>
        </w:numPr>
        <w:ind w:left="2699" w:hanging="539"/>
        <w:rPr>
          <w:b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62FBDC4" wp14:editId="608FC8DD">
            <wp:simplePos x="0" y="0"/>
            <wp:positionH relativeFrom="column">
              <wp:posOffset>4076700</wp:posOffset>
            </wp:positionH>
            <wp:positionV relativeFrom="paragraph">
              <wp:posOffset>-57785</wp:posOffset>
            </wp:positionV>
            <wp:extent cx="1979562" cy="900019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 final logo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562" cy="900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B222F" w14:textId="77777777" w:rsidR="00CE4090" w:rsidRDefault="00CE4090" w:rsidP="00D667B0">
      <w:pPr>
        <w:pStyle w:val="numbering"/>
        <w:numPr>
          <w:ilvl w:val="0"/>
          <w:numId w:val="0"/>
        </w:numPr>
        <w:ind w:left="539" w:hanging="539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50B4D71" w14:textId="77777777" w:rsidR="00CE4090" w:rsidRDefault="00CE4090" w:rsidP="00CE4090">
      <w:pPr>
        <w:pStyle w:val="numbering"/>
        <w:numPr>
          <w:ilvl w:val="0"/>
          <w:numId w:val="0"/>
        </w:numPr>
        <w:ind w:left="539" w:hanging="539"/>
        <w:rPr>
          <w:b/>
          <w:sz w:val="28"/>
          <w:szCs w:val="28"/>
        </w:rPr>
      </w:pPr>
    </w:p>
    <w:p w14:paraId="6DA6B393" w14:textId="77777777" w:rsidR="00CE4090" w:rsidRPr="00CE4090" w:rsidRDefault="00CE4090" w:rsidP="00CE4090">
      <w:pPr>
        <w:pStyle w:val="numbering"/>
        <w:numPr>
          <w:ilvl w:val="0"/>
          <w:numId w:val="0"/>
        </w:numPr>
        <w:ind w:left="539" w:hanging="539"/>
        <w:rPr>
          <w:b/>
          <w:sz w:val="28"/>
          <w:szCs w:val="28"/>
        </w:rPr>
      </w:pPr>
      <w:r w:rsidRPr="00CE4090">
        <w:rPr>
          <w:b/>
          <w:sz w:val="28"/>
          <w:szCs w:val="28"/>
        </w:rPr>
        <w:t>British Steel Pension Scheme (BSPS) complaints FAQ</w:t>
      </w:r>
      <w:r>
        <w:rPr>
          <w:b/>
          <w:sz w:val="28"/>
          <w:szCs w:val="28"/>
        </w:rPr>
        <w:t>s</w:t>
      </w:r>
      <w:r w:rsidRPr="00CE4090">
        <w:rPr>
          <w:b/>
          <w:sz w:val="28"/>
          <w:szCs w:val="28"/>
        </w:rPr>
        <w:t xml:space="preserve"> </w:t>
      </w:r>
    </w:p>
    <w:p w14:paraId="2F441234" w14:textId="77777777" w:rsidR="000279F3" w:rsidRDefault="000279F3" w:rsidP="00D667B0">
      <w:pPr>
        <w:pStyle w:val="numbering"/>
        <w:numPr>
          <w:ilvl w:val="0"/>
          <w:numId w:val="0"/>
        </w:numPr>
        <w:ind w:left="539" w:hanging="539"/>
        <w:rPr>
          <w:b/>
        </w:rPr>
      </w:pPr>
      <w:r>
        <w:rPr>
          <w:b/>
        </w:rPr>
        <w:t>Q:</w:t>
      </w:r>
      <w:r>
        <w:rPr>
          <w:b/>
        </w:rPr>
        <w:tab/>
        <w:t>Which complaints are the Pensions Ombudsman considering?</w:t>
      </w:r>
    </w:p>
    <w:p w14:paraId="617B1BD9" w14:textId="77777777" w:rsidR="000750A1" w:rsidRDefault="000279F3" w:rsidP="00D667B0">
      <w:pPr>
        <w:pStyle w:val="numbering"/>
        <w:numPr>
          <w:ilvl w:val="0"/>
          <w:numId w:val="0"/>
        </w:numPr>
        <w:ind w:left="539" w:hanging="539"/>
      </w:pPr>
      <w:r>
        <w:rPr>
          <w:b/>
        </w:rPr>
        <w:t>A:</w:t>
      </w:r>
      <w:r>
        <w:rPr>
          <w:b/>
        </w:rPr>
        <w:tab/>
      </w:r>
      <w:r w:rsidR="000750A1">
        <w:t>Currently t</w:t>
      </w:r>
      <w:r w:rsidR="000862CA" w:rsidRPr="006F4817">
        <w:t xml:space="preserve">here is an investigation underway into complaints </w:t>
      </w:r>
      <w:r w:rsidR="000750A1">
        <w:t>about the</w:t>
      </w:r>
      <w:r w:rsidR="000862CA" w:rsidRPr="006F4817">
        <w:t xml:space="preserve"> cash equivalent transfer value</w:t>
      </w:r>
      <w:r w:rsidR="000C69DC">
        <w:t xml:space="preserve"> (</w:t>
      </w:r>
      <w:r w:rsidR="000C69DC" w:rsidRPr="0052559F">
        <w:rPr>
          <w:b/>
        </w:rPr>
        <w:t>CETV</w:t>
      </w:r>
      <w:r w:rsidR="000C69DC">
        <w:t>)</w:t>
      </w:r>
      <w:r w:rsidR="000862CA">
        <w:t xml:space="preserve">. </w:t>
      </w:r>
    </w:p>
    <w:p w14:paraId="4AE82E32" w14:textId="77777777" w:rsidR="000279F3" w:rsidRDefault="001A478D" w:rsidP="006F4817">
      <w:pPr>
        <w:pStyle w:val="numbering"/>
        <w:numPr>
          <w:ilvl w:val="0"/>
          <w:numId w:val="0"/>
        </w:numPr>
        <w:ind w:left="539"/>
        <w:rPr>
          <w:b/>
        </w:rPr>
      </w:pPr>
      <w:r>
        <w:t>We are also aware of complain</w:t>
      </w:r>
      <w:r w:rsidR="006716E5">
        <w:t>t</w:t>
      </w:r>
      <w:r>
        <w:t xml:space="preserve">s </w:t>
      </w:r>
      <w:r w:rsidR="0066467C">
        <w:t xml:space="preserve">having </w:t>
      </w:r>
      <w:r w:rsidR="00B5245C">
        <w:t>been</w:t>
      </w:r>
      <w:r w:rsidR="0066467C">
        <w:t xml:space="preserve"> made to the BSPS Trustees about </w:t>
      </w:r>
      <w:r>
        <w:t xml:space="preserve">early retirement factors </w:t>
      </w:r>
      <w:r w:rsidR="000750A1">
        <w:t xml:space="preserve">and </w:t>
      </w:r>
      <w:r w:rsidR="002F5030">
        <w:t xml:space="preserve">the information given to members about BSPS’ transfer to the </w:t>
      </w:r>
      <w:r w:rsidR="006716E5">
        <w:t>Pension Protection Fund (</w:t>
      </w:r>
      <w:r w:rsidR="002F5030">
        <w:t>PPF</w:t>
      </w:r>
      <w:r w:rsidR="00362BCB">
        <w:t>)</w:t>
      </w:r>
      <w:r w:rsidR="000750A1">
        <w:t xml:space="preserve">. </w:t>
      </w:r>
    </w:p>
    <w:p w14:paraId="48411040" w14:textId="77777777" w:rsidR="00623336" w:rsidRDefault="00623336" w:rsidP="00D667B0">
      <w:pPr>
        <w:pStyle w:val="numbering"/>
        <w:numPr>
          <w:ilvl w:val="0"/>
          <w:numId w:val="0"/>
        </w:numPr>
        <w:ind w:left="539" w:hanging="539"/>
        <w:rPr>
          <w:b/>
        </w:rPr>
      </w:pPr>
      <w:r>
        <w:rPr>
          <w:b/>
        </w:rPr>
        <w:t xml:space="preserve">Q. </w:t>
      </w:r>
      <w:r>
        <w:rPr>
          <w:b/>
        </w:rPr>
        <w:tab/>
        <w:t>What shall I do if I want to complain?</w:t>
      </w:r>
    </w:p>
    <w:p w14:paraId="03194A29" w14:textId="77777777" w:rsidR="000750A1" w:rsidRPr="00DF3C9F" w:rsidRDefault="00623336" w:rsidP="00D667B0">
      <w:pPr>
        <w:pStyle w:val="numbering"/>
        <w:numPr>
          <w:ilvl w:val="0"/>
          <w:numId w:val="0"/>
        </w:numPr>
        <w:ind w:left="539" w:hanging="539"/>
      </w:pPr>
      <w:r>
        <w:rPr>
          <w:b/>
        </w:rPr>
        <w:t>A:</w:t>
      </w:r>
      <w:r>
        <w:rPr>
          <w:b/>
        </w:rPr>
        <w:tab/>
      </w:r>
      <w:r w:rsidR="000750A1" w:rsidRPr="00DF3C9F">
        <w:t>If you have not already</w:t>
      </w:r>
      <w:r w:rsidR="009B01FC" w:rsidRPr="00DF3C9F">
        <w:t xml:space="preserve"> done so</w:t>
      </w:r>
      <w:r w:rsidR="000750A1" w:rsidRPr="00DF3C9F">
        <w:t>, please contact the Trustees and raise a complaint with them. This will be considered under the BSPS’ internal dispute resolution procedure (</w:t>
      </w:r>
      <w:r w:rsidR="000750A1" w:rsidRPr="0052559F">
        <w:rPr>
          <w:b/>
        </w:rPr>
        <w:t>IDRP</w:t>
      </w:r>
      <w:r w:rsidR="000750A1" w:rsidRPr="00DF3C9F">
        <w:t xml:space="preserve">). </w:t>
      </w:r>
    </w:p>
    <w:p w14:paraId="7C3EB160" w14:textId="77777777" w:rsidR="000750A1" w:rsidRPr="00DF3C9F" w:rsidRDefault="000750A1" w:rsidP="00D667B0">
      <w:pPr>
        <w:pStyle w:val="numbering"/>
        <w:numPr>
          <w:ilvl w:val="0"/>
          <w:numId w:val="0"/>
        </w:numPr>
        <w:ind w:left="539" w:hanging="539"/>
      </w:pPr>
      <w:r w:rsidRPr="00DF3C9F">
        <w:tab/>
        <w:t>If you are in receipt of the Trustees’ response and remain dissatisfied, please contact us</w:t>
      </w:r>
      <w:r w:rsidR="009B01FC" w:rsidRPr="00DF3C9F">
        <w:t xml:space="preserve"> by either calling 0800 917 4487</w:t>
      </w:r>
      <w:r w:rsidRPr="00DF3C9F">
        <w:t xml:space="preserve"> </w:t>
      </w:r>
      <w:r w:rsidR="009B01FC" w:rsidRPr="00DF3C9F">
        <w:t>or visit</w:t>
      </w:r>
      <w:r w:rsidR="006716E5">
        <w:t>ing</w:t>
      </w:r>
      <w:r w:rsidR="009B01FC" w:rsidRPr="00DF3C9F">
        <w:t xml:space="preserve"> our website, </w:t>
      </w:r>
      <w:hyperlink r:id="rId9" w:history="1">
        <w:r w:rsidR="009B01FC" w:rsidRPr="00DF3C9F">
          <w:rPr>
            <w:rStyle w:val="Hyperlink"/>
          </w:rPr>
          <w:t>https://www.pensions-ombudsman.org.uk/our-service/make-a-complaint/</w:t>
        </w:r>
      </w:hyperlink>
      <w:r w:rsidR="009B6C61">
        <w:rPr>
          <w:rStyle w:val="Hyperlink"/>
        </w:rPr>
        <w:t xml:space="preserve">, </w:t>
      </w:r>
      <w:r w:rsidR="006716E5">
        <w:t>w</w:t>
      </w:r>
      <w:r w:rsidR="009B01FC" w:rsidRPr="00DF3C9F">
        <w:t xml:space="preserve">here you </w:t>
      </w:r>
      <w:r w:rsidR="006716E5">
        <w:t>can</w:t>
      </w:r>
      <w:r w:rsidR="009B01FC" w:rsidRPr="00DF3C9F">
        <w:t xml:space="preserve"> make an online application or </w:t>
      </w:r>
      <w:r w:rsidR="00FB7F9D">
        <w:t>request an</w:t>
      </w:r>
      <w:r w:rsidR="009B01FC" w:rsidRPr="00DF3C9F">
        <w:t xml:space="preserve"> application form to complete and return to us.  </w:t>
      </w:r>
    </w:p>
    <w:p w14:paraId="0C27AFB5" w14:textId="77777777" w:rsidR="00867313" w:rsidRDefault="00867313" w:rsidP="00D667B0">
      <w:pPr>
        <w:pStyle w:val="numbering"/>
        <w:numPr>
          <w:ilvl w:val="0"/>
          <w:numId w:val="0"/>
        </w:numPr>
        <w:ind w:left="539" w:hanging="539"/>
        <w:rPr>
          <w:b/>
        </w:rPr>
      </w:pPr>
      <w:r>
        <w:rPr>
          <w:b/>
        </w:rPr>
        <w:t>Q:</w:t>
      </w:r>
      <w:r>
        <w:rPr>
          <w:b/>
        </w:rPr>
        <w:tab/>
        <w:t>Can we offer advice</w:t>
      </w:r>
      <w:r w:rsidR="000279F3">
        <w:rPr>
          <w:b/>
        </w:rPr>
        <w:t>/guidance</w:t>
      </w:r>
      <w:r>
        <w:rPr>
          <w:b/>
        </w:rPr>
        <w:t>?</w:t>
      </w:r>
    </w:p>
    <w:p w14:paraId="4517D193" w14:textId="151FB0F9" w:rsidR="00CA0134" w:rsidRPr="001476B3" w:rsidRDefault="00867313" w:rsidP="00E61421">
      <w:pPr>
        <w:pStyle w:val="numbering"/>
        <w:numPr>
          <w:ilvl w:val="0"/>
          <w:numId w:val="0"/>
        </w:numPr>
        <w:spacing w:line="240" w:lineRule="auto"/>
        <w:ind w:left="539" w:hanging="539"/>
      </w:pPr>
      <w:r>
        <w:rPr>
          <w:b/>
        </w:rPr>
        <w:t>A:</w:t>
      </w:r>
      <w:r>
        <w:rPr>
          <w:b/>
        </w:rPr>
        <w:tab/>
      </w:r>
      <w:r w:rsidRPr="006F4817">
        <w:t>No</w:t>
      </w:r>
      <w:r w:rsidR="00CE246E">
        <w:t xml:space="preserve"> we are not able to provide advice or offer guidance</w:t>
      </w:r>
      <w:r w:rsidR="00A714D2">
        <w:t xml:space="preserve"> to members of the BSPS</w:t>
      </w:r>
      <w:r w:rsidR="00CE246E">
        <w:t>. The Pensions Advisory Service (</w:t>
      </w:r>
      <w:r w:rsidRPr="00CE246E">
        <w:rPr>
          <w:b/>
        </w:rPr>
        <w:t>TPAS</w:t>
      </w:r>
      <w:r w:rsidR="00CE246E">
        <w:t>)</w:t>
      </w:r>
      <w:r w:rsidRPr="006F4817">
        <w:t xml:space="preserve"> m</w:t>
      </w:r>
      <w:r w:rsidR="001476B3">
        <w:t>ight</w:t>
      </w:r>
      <w:r w:rsidRPr="006F4817">
        <w:t xml:space="preserve"> offer free assistance if </w:t>
      </w:r>
      <w:r w:rsidR="00A714D2" w:rsidRPr="006F4817">
        <w:t>m</w:t>
      </w:r>
      <w:r w:rsidR="00A714D2">
        <w:t xml:space="preserve">embers </w:t>
      </w:r>
      <w:r w:rsidRPr="006F4817">
        <w:t>have any concerns about the</w:t>
      </w:r>
      <w:r w:rsidR="00220F12" w:rsidRPr="006F4817">
        <w:t xml:space="preserve"> options available regarding their pensions</w:t>
      </w:r>
      <w:r w:rsidRPr="006F4817">
        <w:t>.</w:t>
      </w:r>
      <w:r w:rsidRPr="001476B3">
        <w:t xml:space="preserve"> </w:t>
      </w:r>
      <w:r w:rsidR="001476B3" w:rsidRPr="001476B3">
        <w:t xml:space="preserve">If you think you may need assistance give TPAS a call on </w:t>
      </w:r>
      <w:r w:rsidR="00E61421" w:rsidRPr="00E61421">
        <w:t xml:space="preserve">0808 1688 709 </w:t>
      </w:r>
      <w:r w:rsidR="001476B3" w:rsidRPr="001476B3">
        <w:t>or get in touch online.</w:t>
      </w:r>
      <w:r w:rsidR="00E61421">
        <w:t xml:space="preserve"> </w:t>
      </w:r>
      <w:r w:rsidR="00E61421" w:rsidRPr="00E61421">
        <w:t>The BS Pensions Office’s Transfer Helpline is 0330 440 0850</w:t>
      </w:r>
      <w:r w:rsidR="00E61421">
        <w:t>.</w:t>
      </w:r>
    </w:p>
    <w:p w14:paraId="4CFDD74A" w14:textId="77777777" w:rsidR="00787A75" w:rsidRDefault="00463B88" w:rsidP="00D667B0">
      <w:pPr>
        <w:pStyle w:val="numbering"/>
        <w:numPr>
          <w:ilvl w:val="0"/>
          <w:numId w:val="0"/>
        </w:numPr>
        <w:ind w:left="539" w:hanging="539"/>
      </w:pPr>
      <w:r>
        <w:t>Q:</w:t>
      </w:r>
      <w:r>
        <w:tab/>
      </w:r>
      <w:r w:rsidRPr="006F4817">
        <w:rPr>
          <w:b/>
        </w:rPr>
        <w:t xml:space="preserve">How </w:t>
      </w:r>
      <w:r w:rsidR="000279F3" w:rsidRPr="006F4817">
        <w:rPr>
          <w:b/>
        </w:rPr>
        <w:t xml:space="preserve">will the Pensions Ombudsman consider complaints against </w:t>
      </w:r>
      <w:r w:rsidR="00976216">
        <w:rPr>
          <w:b/>
        </w:rPr>
        <w:t>BSPS</w:t>
      </w:r>
      <w:r w:rsidRPr="006F4817">
        <w:rPr>
          <w:b/>
        </w:rPr>
        <w:t>?</w:t>
      </w:r>
    </w:p>
    <w:p w14:paraId="4139214D" w14:textId="77777777" w:rsidR="00220F12" w:rsidRDefault="00463B88" w:rsidP="00463B88">
      <w:pPr>
        <w:pStyle w:val="numbering"/>
        <w:numPr>
          <w:ilvl w:val="0"/>
          <w:numId w:val="0"/>
        </w:numPr>
        <w:ind w:left="539" w:hanging="539"/>
      </w:pPr>
      <w:r>
        <w:t>A:</w:t>
      </w:r>
      <w:r>
        <w:tab/>
      </w:r>
      <w:r w:rsidR="00FB7F9D">
        <w:t xml:space="preserve">We will group together </w:t>
      </w:r>
      <w:r w:rsidR="007E1AD1">
        <w:t>complaints</w:t>
      </w:r>
      <w:r w:rsidR="00220F12">
        <w:t xml:space="preserve"> which are similar in nature</w:t>
      </w:r>
      <w:r w:rsidR="00C1691D">
        <w:t>.</w:t>
      </w:r>
      <w:r w:rsidR="00220F12">
        <w:t xml:space="preserve"> We will nominate a </w:t>
      </w:r>
      <w:r>
        <w:t>lead case</w:t>
      </w:r>
      <w:r w:rsidR="00220F12">
        <w:t xml:space="preserve"> </w:t>
      </w:r>
      <w:r w:rsidR="00FB7F9D">
        <w:t xml:space="preserve">for each group </w:t>
      </w:r>
      <w:r w:rsidR="00220F12">
        <w:t xml:space="preserve">and similar complaints will be linked to </w:t>
      </w:r>
      <w:r w:rsidR="00CE246E">
        <w:t xml:space="preserve">that </w:t>
      </w:r>
      <w:r w:rsidR="00220F12">
        <w:t>the lead case</w:t>
      </w:r>
      <w:r>
        <w:t xml:space="preserve">. </w:t>
      </w:r>
    </w:p>
    <w:p w14:paraId="47BF64A2" w14:textId="77777777" w:rsidR="00220F12" w:rsidRPr="006F4817" w:rsidRDefault="00220F12" w:rsidP="00463B88">
      <w:pPr>
        <w:pStyle w:val="numbering"/>
        <w:numPr>
          <w:ilvl w:val="0"/>
          <w:numId w:val="0"/>
        </w:numPr>
        <w:ind w:left="539" w:hanging="539"/>
        <w:rPr>
          <w:b/>
        </w:rPr>
      </w:pPr>
      <w:r w:rsidRPr="006F4817">
        <w:rPr>
          <w:b/>
        </w:rPr>
        <w:t xml:space="preserve">Q: </w:t>
      </w:r>
      <w:r w:rsidRPr="006F4817">
        <w:rPr>
          <w:b/>
        </w:rPr>
        <w:tab/>
        <w:t>What is a lead case?</w:t>
      </w:r>
    </w:p>
    <w:p w14:paraId="148476A4" w14:textId="77777777" w:rsidR="004D5117" w:rsidRDefault="00220F12" w:rsidP="00463B88">
      <w:pPr>
        <w:pStyle w:val="numbering"/>
        <w:numPr>
          <w:ilvl w:val="0"/>
          <w:numId w:val="0"/>
        </w:numPr>
        <w:ind w:left="539" w:hanging="539"/>
      </w:pPr>
      <w:r>
        <w:t>A:</w:t>
      </w:r>
      <w:r>
        <w:tab/>
      </w:r>
      <w:r w:rsidR="00FB7F9D">
        <w:t xml:space="preserve">In the </w:t>
      </w:r>
      <w:r>
        <w:t>lead case</w:t>
      </w:r>
      <w:r w:rsidR="003D6011">
        <w:t xml:space="preserve"> </w:t>
      </w:r>
      <w:r w:rsidR="00FB7F9D">
        <w:t xml:space="preserve">we </w:t>
      </w:r>
      <w:r w:rsidR="00CE246E">
        <w:t xml:space="preserve">aim to </w:t>
      </w:r>
      <w:r>
        <w:t xml:space="preserve">cover all possible issues </w:t>
      </w:r>
      <w:r w:rsidR="003D6011">
        <w:t>raised by the members that have complained</w:t>
      </w:r>
      <w:r w:rsidR="00A714D2">
        <w:t xml:space="preserve">. </w:t>
      </w:r>
      <w:r w:rsidR="003D6011">
        <w:t>T</w:t>
      </w:r>
      <w:r w:rsidR="00463B88">
        <w:t xml:space="preserve">he lead case will be investigated </w:t>
      </w:r>
      <w:r w:rsidR="00FB7F9D">
        <w:t xml:space="preserve">in line </w:t>
      </w:r>
      <w:r w:rsidR="009B6C61">
        <w:t>with our</w:t>
      </w:r>
      <w:r>
        <w:t xml:space="preserve"> usual investigation process</w:t>
      </w:r>
      <w:r w:rsidR="00427978">
        <w:t xml:space="preserve">; </w:t>
      </w:r>
      <w:r w:rsidR="009B6C61">
        <w:t xml:space="preserve">it </w:t>
      </w:r>
      <w:r>
        <w:t xml:space="preserve">will </w:t>
      </w:r>
      <w:r w:rsidR="009B6C61">
        <w:t>involve</w:t>
      </w:r>
      <w:r>
        <w:t xml:space="preserve"> </w:t>
      </w:r>
      <w:r w:rsidR="00427978">
        <w:t xml:space="preserve">the parties </w:t>
      </w:r>
      <w:r w:rsidR="009A7370">
        <w:t>to that</w:t>
      </w:r>
      <w:r w:rsidR="00427978">
        <w:t xml:space="preserve"> complaint (</w:t>
      </w:r>
      <w:r w:rsidR="009A7370">
        <w:t>i.e.</w:t>
      </w:r>
      <w:r w:rsidR="00427978">
        <w:t xml:space="preserve"> the person who made the lead complaint and the “respondent” to the complaint – in this case the trustees of the BSPS)</w:t>
      </w:r>
      <w:r w:rsidR="004D5117">
        <w:t>.</w:t>
      </w:r>
      <w:r>
        <w:t xml:space="preserve"> </w:t>
      </w:r>
      <w:r w:rsidR="00B83EBF">
        <w:t>T</w:t>
      </w:r>
      <w:r>
        <w:t>he Ombudsman will issue his Preliminary Decision to both parties</w:t>
      </w:r>
      <w:r w:rsidR="00C1691D">
        <w:t xml:space="preserve"> and </w:t>
      </w:r>
      <w:r>
        <w:t xml:space="preserve">give </w:t>
      </w:r>
      <w:r w:rsidR="00C1691D">
        <w:t xml:space="preserve">them </w:t>
      </w:r>
      <w:r>
        <w:t xml:space="preserve">an </w:t>
      </w:r>
      <w:r w:rsidR="004D5117">
        <w:t xml:space="preserve">opportunity to comment on his findings before the matter is </w:t>
      </w:r>
      <w:r w:rsidR="00C1691D">
        <w:t>d</w:t>
      </w:r>
      <w:r w:rsidR="004D5117">
        <w:t>etermined</w:t>
      </w:r>
      <w:r w:rsidR="00C1691D">
        <w:t>. He will then issue his final decision</w:t>
      </w:r>
      <w:r w:rsidR="004D5117">
        <w:t xml:space="preserve"> </w:t>
      </w:r>
      <w:r w:rsidR="00C1691D">
        <w:t>(Determination) to the parties</w:t>
      </w:r>
      <w:r w:rsidR="0071468F">
        <w:t xml:space="preserve">. The </w:t>
      </w:r>
      <w:r w:rsidR="009A7370">
        <w:t xml:space="preserve">Determination </w:t>
      </w:r>
      <w:r w:rsidR="009A7370" w:rsidRPr="00681A48">
        <w:rPr>
          <w:rFonts w:cs="Arial"/>
          <w:bCs/>
          <w:lang w:eastAsia="en-GB"/>
        </w:rPr>
        <w:t>is</w:t>
      </w:r>
      <w:r w:rsidR="0071468F" w:rsidRPr="00681A48">
        <w:rPr>
          <w:rFonts w:cs="Arial"/>
          <w:bCs/>
          <w:lang w:eastAsia="en-GB"/>
        </w:rPr>
        <w:t xml:space="preserve"> final and binding. This means that we cannot change it, the parties must comply with </w:t>
      </w:r>
      <w:r w:rsidR="0071468F" w:rsidRPr="00681A48">
        <w:rPr>
          <w:rFonts w:cs="Arial"/>
          <w:bCs/>
          <w:lang w:eastAsia="en-GB"/>
        </w:rPr>
        <w:lastRenderedPageBreak/>
        <w:t xml:space="preserve">it and it can be enforced in the courts. The only exception is if one of the parties successfully appeals </w:t>
      </w:r>
      <w:r w:rsidR="00026C73">
        <w:rPr>
          <w:rFonts w:cs="Arial"/>
          <w:bCs/>
          <w:lang w:eastAsia="en-GB"/>
        </w:rPr>
        <w:t>the D</w:t>
      </w:r>
      <w:r w:rsidR="0071468F" w:rsidRPr="00681A48">
        <w:rPr>
          <w:rFonts w:cs="Arial"/>
          <w:bCs/>
          <w:lang w:eastAsia="en-GB"/>
        </w:rPr>
        <w:t xml:space="preserve">etermination to the courts on a point of law. </w:t>
      </w:r>
    </w:p>
    <w:p w14:paraId="38C8389C" w14:textId="77777777" w:rsidR="004D5117" w:rsidRPr="006F4817" w:rsidRDefault="004D5117" w:rsidP="00463B88">
      <w:pPr>
        <w:pStyle w:val="numbering"/>
        <w:numPr>
          <w:ilvl w:val="0"/>
          <w:numId w:val="0"/>
        </w:numPr>
        <w:ind w:left="539" w:hanging="539"/>
        <w:rPr>
          <w:b/>
        </w:rPr>
      </w:pPr>
      <w:r w:rsidRPr="006F4817">
        <w:rPr>
          <w:b/>
        </w:rPr>
        <w:t>Q:</w:t>
      </w:r>
      <w:r w:rsidRPr="006F4817">
        <w:rPr>
          <w:b/>
        </w:rPr>
        <w:tab/>
        <w:t>What will happen to my case if it is not a lead case?</w:t>
      </w:r>
    </w:p>
    <w:p w14:paraId="74309A00" w14:textId="77777777" w:rsidR="00463B88" w:rsidRDefault="004D5117" w:rsidP="00463B88">
      <w:pPr>
        <w:pStyle w:val="numbering"/>
        <w:numPr>
          <w:ilvl w:val="0"/>
          <w:numId w:val="0"/>
        </w:numPr>
        <w:ind w:left="539" w:hanging="539"/>
      </w:pPr>
      <w:r>
        <w:t>A:</w:t>
      </w:r>
      <w:r>
        <w:tab/>
      </w:r>
      <w:r w:rsidR="00463B88">
        <w:t xml:space="preserve">Once the </w:t>
      </w:r>
      <w:r w:rsidR="003D6011">
        <w:t xml:space="preserve">lead </w:t>
      </w:r>
      <w:r w:rsidR="00463B88">
        <w:t xml:space="preserve">case </w:t>
      </w:r>
      <w:r w:rsidR="00B83EBF">
        <w:t xml:space="preserve">for your group </w:t>
      </w:r>
      <w:r w:rsidR="00463B88">
        <w:t xml:space="preserve">has been </w:t>
      </w:r>
      <w:r w:rsidR="00B83EBF">
        <w:t>d</w:t>
      </w:r>
      <w:r w:rsidR="00463B88">
        <w:t>etermined</w:t>
      </w:r>
      <w:r>
        <w:t xml:space="preserve">, </w:t>
      </w:r>
      <w:r w:rsidR="00B83EBF">
        <w:t>you</w:t>
      </w:r>
      <w:r>
        <w:t xml:space="preserve"> </w:t>
      </w:r>
      <w:r w:rsidR="00463B88">
        <w:t xml:space="preserve">will be provided with a copy of the </w:t>
      </w:r>
      <w:r>
        <w:t>D</w:t>
      </w:r>
      <w:r w:rsidR="00463B88">
        <w:t xml:space="preserve">etermination. </w:t>
      </w:r>
      <w:r w:rsidR="004A5814">
        <w:t xml:space="preserve">The Determination of the lead case will not automatically apply to you. </w:t>
      </w:r>
      <w:r w:rsidR="00463B88">
        <w:t xml:space="preserve">You will be given the opportunity to accept the outcome of the lead case or present reasons to show why your case is substantially different </w:t>
      </w:r>
      <w:r w:rsidR="00B83EBF">
        <w:t xml:space="preserve">from </w:t>
      </w:r>
      <w:r w:rsidR="00463B88">
        <w:t>the lead case</w:t>
      </w:r>
      <w:r w:rsidR="004A5814">
        <w:t>,</w:t>
      </w:r>
      <w:r>
        <w:t xml:space="preserve"> and </w:t>
      </w:r>
      <w:r w:rsidR="004A5814">
        <w:t xml:space="preserve">as </w:t>
      </w:r>
      <w:r>
        <w:t xml:space="preserve">such </w:t>
      </w:r>
      <w:r w:rsidR="00B83EBF">
        <w:t>could result in</w:t>
      </w:r>
      <w:r>
        <w:t xml:space="preserve"> a different outcome</w:t>
      </w:r>
      <w:r w:rsidR="00463B88">
        <w:t>. If we agree your case is substantially different</w:t>
      </w:r>
      <w:r w:rsidR="00852964">
        <w:t>,</w:t>
      </w:r>
      <w:r w:rsidR="00463B88">
        <w:t xml:space="preserve"> </w:t>
      </w:r>
      <w:r w:rsidR="00B5245C">
        <w:t>it</w:t>
      </w:r>
      <w:r w:rsidR="00463B88">
        <w:t xml:space="preserve"> will be investigated on an individual basis</w:t>
      </w:r>
    </w:p>
    <w:p w14:paraId="0790F055" w14:textId="77777777" w:rsidR="00463B88" w:rsidRPr="006F4817" w:rsidRDefault="00D01CFC" w:rsidP="00463B88">
      <w:pPr>
        <w:pStyle w:val="numbering"/>
        <w:numPr>
          <w:ilvl w:val="0"/>
          <w:numId w:val="0"/>
        </w:numPr>
        <w:ind w:left="539" w:hanging="539"/>
        <w:rPr>
          <w:b/>
        </w:rPr>
      </w:pPr>
      <w:r w:rsidRPr="006F4817">
        <w:rPr>
          <w:b/>
        </w:rPr>
        <w:t>Q:</w:t>
      </w:r>
      <w:r w:rsidRPr="006F4817">
        <w:rPr>
          <w:b/>
        </w:rPr>
        <w:tab/>
      </w:r>
      <w:r w:rsidR="004D5117" w:rsidRPr="006F4817">
        <w:rPr>
          <w:b/>
        </w:rPr>
        <w:t>Why i</w:t>
      </w:r>
      <w:r w:rsidRPr="006F4817">
        <w:rPr>
          <w:b/>
        </w:rPr>
        <w:t>s my case</w:t>
      </w:r>
      <w:r w:rsidR="004D5117" w:rsidRPr="006F4817">
        <w:rPr>
          <w:b/>
        </w:rPr>
        <w:t xml:space="preserve"> not</w:t>
      </w:r>
      <w:r w:rsidRPr="006F4817">
        <w:rPr>
          <w:b/>
        </w:rPr>
        <w:t xml:space="preserve"> the lead case?</w:t>
      </w:r>
    </w:p>
    <w:p w14:paraId="5E60A9F2" w14:textId="77777777" w:rsidR="002D5F7C" w:rsidRDefault="00D01CFC" w:rsidP="00463B88">
      <w:pPr>
        <w:pStyle w:val="numbering"/>
        <w:numPr>
          <w:ilvl w:val="0"/>
          <w:numId w:val="0"/>
        </w:numPr>
        <w:ind w:left="539" w:hanging="539"/>
      </w:pPr>
      <w:r>
        <w:t>A:</w:t>
      </w:r>
      <w:r>
        <w:tab/>
      </w:r>
      <w:r w:rsidR="004D5117">
        <w:t xml:space="preserve">All complaints are important to us, but in order to manage the significant volume of applications, we will nominate a lead case which we consider </w:t>
      </w:r>
      <w:r w:rsidR="00026C73">
        <w:t xml:space="preserve">best </w:t>
      </w:r>
      <w:r w:rsidR="004D5117">
        <w:t xml:space="preserve">covers all the issues raised. </w:t>
      </w:r>
      <w:r w:rsidR="002D5F7C">
        <w:t xml:space="preserve">Please do not be disheartened if your complaint is not </w:t>
      </w:r>
      <w:r w:rsidR="00852964">
        <w:t>designated</w:t>
      </w:r>
      <w:r w:rsidR="002D5F7C">
        <w:t xml:space="preserve"> as the lead case. Everyone will be given an opportunity to comment once the Determination has been issued</w:t>
      </w:r>
      <w:r w:rsidR="00852964">
        <w:t xml:space="preserve"> on the lead case</w:t>
      </w:r>
      <w:r w:rsidR="002D5F7C">
        <w:t xml:space="preserve">. </w:t>
      </w:r>
    </w:p>
    <w:p w14:paraId="3D64842D" w14:textId="77777777" w:rsidR="002D5F7C" w:rsidRPr="006F4817" w:rsidRDefault="002D5F7C" w:rsidP="00463B88">
      <w:pPr>
        <w:pStyle w:val="numbering"/>
        <w:numPr>
          <w:ilvl w:val="0"/>
          <w:numId w:val="0"/>
        </w:numPr>
        <w:ind w:left="539" w:hanging="539"/>
        <w:rPr>
          <w:b/>
        </w:rPr>
      </w:pPr>
      <w:r w:rsidRPr="006F4817">
        <w:rPr>
          <w:b/>
        </w:rPr>
        <w:t xml:space="preserve">Q: </w:t>
      </w:r>
      <w:r w:rsidRPr="006F4817">
        <w:rPr>
          <w:b/>
        </w:rPr>
        <w:tab/>
        <w:t>How will I know if I am the lead case or not?</w:t>
      </w:r>
    </w:p>
    <w:p w14:paraId="542F9554" w14:textId="77777777" w:rsidR="00D01CFC" w:rsidRDefault="002D5F7C" w:rsidP="00463B88">
      <w:pPr>
        <w:pStyle w:val="numbering"/>
        <w:numPr>
          <w:ilvl w:val="0"/>
          <w:numId w:val="0"/>
        </w:numPr>
        <w:ind w:left="539" w:hanging="539"/>
      </w:pPr>
      <w:r>
        <w:t>A:</w:t>
      </w:r>
      <w:r>
        <w:tab/>
      </w:r>
      <w:r w:rsidR="00B83EBF">
        <w:t>We will tell you if your</w:t>
      </w:r>
      <w:r>
        <w:t xml:space="preserve"> case has been designated as the lead case</w:t>
      </w:r>
      <w:r w:rsidR="00B83EBF">
        <w:t>, or not</w:t>
      </w:r>
      <w:r w:rsidR="00D01CFC">
        <w:t>.</w:t>
      </w:r>
      <w:r>
        <w:t xml:space="preserve"> </w:t>
      </w:r>
      <w:r w:rsidR="00D01CFC">
        <w:t xml:space="preserve"> </w:t>
      </w:r>
    </w:p>
    <w:p w14:paraId="40808F55" w14:textId="77777777" w:rsidR="00D01CFC" w:rsidRPr="006F4817" w:rsidRDefault="00D01CFC" w:rsidP="00463B88">
      <w:pPr>
        <w:pStyle w:val="numbering"/>
        <w:numPr>
          <w:ilvl w:val="0"/>
          <w:numId w:val="0"/>
        </w:numPr>
        <w:ind w:left="539" w:hanging="539"/>
        <w:rPr>
          <w:b/>
        </w:rPr>
      </w:pPr>
      <w:r w:rsidRPr="006F4817">
        <w:rPr>
          <w:b/>
        </w:rPr>
        <w:t>Q:</w:t>
      </w:r>
      <w:r w:rsidRPr="006F4817">
        <w:rPr>
          <w:b/>
        </w:rPr>
        <w:tab/>
        <w:t>W</w:t>
      </w:r>
      <w:r w:rsidR="001909AE" w:rsidRPr="006F4817">
        <w:rPr>
          <w:b/>
        </w:rPr>
        <w:t>ill I know w</w:t>
      </w:r>
      <w:r w:rsidRPr="006F4817">
        <w:rPr>
          <w:b/>
        </w:rPr>
        <w:t xml:space="preserve">ho </w:t>
      </w:r>
      <w:r w:rsidR="001909AE" w:rsidRPr="006F4817">
        <w:rPr>
          <w:b/>
        </w:rPr>
        <w:t>the lead case is?</w:t>
      </w:r>
    </w:p>
    <w:p w14:paraId="1F078539" w14:textId="77777777" w:rsidR="001909AE" w:rsidRDefault="00D01CFC" w:rsidP="00463B88">
      <w:pPr>
        <w:pStyle w:val="numbering"/>
        <w:numPr>
          <w:ilvl w:val="0"/>
          <w:numId w:val="0"/>
        </w:numPr>
        <w:ind w:left="539" w:hanging="539"/>
      </w:pPr>
      <w:r>
        <w:t xml:space="preserve">A: </w:t>
      </w:r>
      <w:r>
        <w:tab/>
      </w:r>
      <w:r w:rsidR="000133AD">
        <w:t xml:space="preserve">For data protection reasons, </w:t>
      </w:r>
      <w:r w:rsidR="00026C73">
        <w:t xml:space="preserve">before and during the investigation </w:t>
      </w:r>
      <w:r w:rsidR="000133AD">
        <w:t>w</w:t>
      </w:r>
      <w:r w:rsidR="006A6932">
        <w:t xml:space="preserve">e are not in a position to </w:t>
      </w:r>
      <w:r w:rsidR="000133AD">
        <w:t xml:space="preserve">tell </w:t>
      </w:r>
      <w:r w:rsidR="009A7370">
        <w:t>you the</w:t>
      </w:r>
      <w:r w:rsidR="001909AE">
        <w:t xml:space="preserve"> </w:t>
      </w:r>
      <w:r w:rsidR="000133AD">
        <w:t xml:space="preserve">name of the </w:t>
      </w:r>
      <w:r w:rsidR="00852964">
        <w:t>member</w:t>
      </w:r>
      <w:r w:rsidR="000133AD">
        <w:t xml:space="preserve"> </w:t>
      </w:r>
      <w:r w:rsidR="00852964">
        <w:t>whose case has been selected as the</w:t>
      </w:r>
      <w:r w:rsidR="001909AE">
        <w:t xml:space="preserve"> lead</w:t>
      </w:r>
      <w:r w:rsidR="000133AD">
        <w:t>. B</w:t>
      </w:r>
      <w:r w:rsidR="001909AE">
        <w:t xml:space="preserve">ut once </w:t>
      </w:r>
      <w:r w:rsidR="000133AD">
        <w:t>that case has been</w:t>
      </w:r>
      <w:r w:rsidR="001909AE">
        <w:t xml:space="preserve"> </w:t>
      </w:r>
      <w:r w:rsidR="000133AD">
        <w:t>d</w:t>
      </w:r>
      <w:r w:rsidR="001909AE">
        <w:t xml:space="preserve">etermined you will have an opportunity to comment. </w:t>
      </w:r>
    </w:p>
    <w:p w14:paraId="7E8EB146" w14:textId="77777777" w:rsidR="001909AE" w:rsidRPr="006F4817" w:rsidRDefault="001909AE" w:rsidP="00463B88">
      <w:pPr>
        <w:pStyle w:val="numbering"/>
        <w:numPr>
          <w:ilvl w:val="0"/>
          <w:numId w:val="0"/>
        </w:numPr>
        <w:ind w:left="539" w:hanging="539"/>
        <w:rPr>
          <w:b/>
        </w:rPr>
      </w:pPr>
      <w:r w:rsidRPr="006F4817">
        <w:rPr>
          <w:b/>
        </w:rPr>
        <w:t>Q:</w:t>
      </w:r>
      <w:r w:rsidRPr="006F4817">
        <w:rPr>
          <w:b/>
        </w:rPr>
        <w:tab/>
        <w:t>Can I know what the outcome of the complaint will be?</w:t>
      </w:r>
    </w:p>
    <w:p w14:paraId="4333B4E7" w14:textId="77777777" w:rsidR="00D01CFC" w:rsidRDefault="001909AE" w:rsidP="00463B88">
      <w:pPr>
        <w:pStyle w:val="numbering"/>
        <w:numPr>
          <w:ilvl w:val="0"/>
          <w:numId w:val="0"/>
        </w:numPr>
        <w:ind w:left="539" w:hanging="539"/>
      </w:pPr>
      <w:r>
        <w:t>A:</w:t>
      </w:r>
      <w:r>
        <w:tab/>
      </w:r>
      <w:r w:rsidR="00852964">
        <w:t xml:space="preserve">We are unable to say at this stage what the outcome will be. The Ombudsman will consider </w:t>
      </w:r>
      <w:r w:rsidR="009A7370">
        <w:t>all the</w:t>
      </w:r>
      <w:r w:rsidR="00D05E2F">
        <w:t xml:space="preserve"> relevant facts</w:t>
      </w:r>
      <w:r w:rsidR="00852964">
        <w:t xml:space="preserve"> </w:t>
      </w:r>
      <w:r w:rsidR="004A5814">
        <w:t>of the complaint</w:t>
      </w:r>
      <w:r w:rsidR="00852964">
        <w:t xml:space="preserve"> </w:t>
      </w:r>
      <w:r>
        <w:t xml:space="preserve">before reaching his decision. </w:t>
      </w:r>
    </w:p>
    <w:p w14:paraId="31AFE01B" w14:textId="77777777" w:rsidR="006A6932" w:rsidRPr="006F4817" w:rsidRDefault="006A6932" w:rsidP="00463B88">
      <w:pPr>
        <w:pStyle w:val="numbering"/>
        <w:numPr>
          <w:ilvl w:val="0"/>
          <w:numId w:val="0"/>
        </w:numPr>
        <w:ind w:left="539" w:hanging="539"/>
        <w:rPr>
          <w:b/>
        </w:rPr>
      </w:pPr>
      <w:r w:rsidRPr="006F4817">
        <w:rPr>
          <w:b/>
        </w:rPr>
        <w:t>Q:</w:t>
      </w:r>
      <w:r w:rsidRPr="006F4817">
        <w:rPr>
          <w:b/>
        </w:rPr>
        <w:tab/>
        <w:t>Will my case, and the documents I have sent in</w:t>
      </w:r>
      <w:r w:rsidR="000133AD">
        <w:rPr>
          <w:b/>
        </w:rPr>
        <w:t>,</w:t>
      </w:r>
      <w:r w:rsidRPr="006F4817">
        <w:rPr>
          <w:b/>
        </w:rPr>
        <w:t xml:space="preserve"> be looked at individually? </w:t>
      </w:r>
    </w:p>
    <w:p w14:paraId="43352BA6" w14:textId="77777777" w:rsidR="006A6932" w:rsidRDefault="006A6932" w:rsidP="00463B88">
      <w:pPr>
        <w:pStyle w:val="numbering"/>
        <w:numPr>
          <w:ilvl w:val="0"/>
          <w:numId w:val="0"/>
        </w:numPr>
        <w:ind w:left="539" w:hanging="539"/>
      </w:pPr>
      <w:r>
        <w:t>A:</w:t>
      </w:r>
      <w:r>
        <w:tab/>
        <w:t>Your case</w:t>
      </w:r>
      <w:r w:rsidR="000133AD">
        <w:t>,</w:t>
      </w:r>
      <w:r>
        <w:t xml:space="preserve"> and documents</w:t>
      </w:r>
      <w:r w:rsidR="000133AD">
        <w:t>,</w:t>
      </w:r>
      <w:r>
        <w:t xml:space="preserve"> have been looked at to</w:t>
      </w:r>
      <w:r w:rsidR="000133AD">
        <w:t xml:space="preserve"> decide if</w:t>
      </w:r>
      <w:r>
        <w:t xml:space="preserve"> your complaint falls within the Pensions Ombudsman’s jurisdiction </w:t>
      </w:r>
      <w:r w:rsidR="000133AD">
        <w:t>and</w:t>
      </w:r>
      <w:r>
        <w:t xml:space="preserve"> can </w:t>
      </w:r>
      <w:r w:rsidR="000133AD">
        <w:t>be investigated</w:t>
      </w:r>
      <w:r>
        <w:t>.  Where it is not possible for us to investigate your complaint</w:t>
      </w:r>
      <w:r w:rsidR="000133AD">
        <w:t>, we</w:t>
      </w:r>
      <w:r>
        <w:t xml:space="preserve"> will </w:t>
      </w:r>
      <w:r w:rsidR="000133AD">
        <w:t>tell you why. For example it could be</w:t>
      </w:r>
      <w:r>
        <w:t xml:space="preserve"> because we need some further information </w:t>
      </w:r>
      <w:r w:rsidR="00B5245C">
        <w:t xml:space="preserve">or </w:t>
      </w:r>
      <w:r>
        <w:t xml:space="preserve">you need to complain directly to the Trustees under the </w:t>
      </w:r>
      <w:r w:rsidR="00A714D2">
        <w:t>IDRP</w:t>
      </w:r>
      <w:r>
        <w:t xml:space="preserve"> before we can consider the complaint. </w:t>
      </w:r>
    </w:p>
    <w:p w14:paraId="69D84FDA" w14:textId="77777777" w:rsidR="006A6932" w:rsidRPr="006F4817" w:rsidRDefault="006A6932" w:rsidP="00463B88">
      <w:pPr>
        <w:pStyle w:val="numbering"/>
        <w:numPr>
          <w:ilvl w:val="0"/>
          <w:numId w:val="0"/>
        </w:numPr>
        <w:ind w:left="539" w:hanging="539"/>
        <w:rPr>
          <w:b/>
        </w:rPr>
      </w:pPr>
      <w:r w:rsidRPr="006F4817">
        <w:rPr>
          <w:b/>
        </w:rPr>
        <w:t xml:space="preserve">Q: </w:t>
      </w:r>
      <w:r w:rsidRPr="006F4817">
        <w:rPr>
          <w:b/>
        </w:rPr>
        <w:tab/>
        <w:t>How long will it take for the lead case to be considered?</w:t>
      </w:r>
    </w:p>
    <w:p w14:paraId="2A7C4227" w14:textId="77777777" w:rsidR="006A6932" w:rsidRDefault="006A6932" w:rsidP="00463B88">
      <w:pPr>
        <w:pStyle w:val="numbering"/>
        <w:numPr>
          <w:ilvl w:val="0"/>
          <w:numId w:val="0"/>
        </w:numPr>
        <w:ind w:left="539" w:hanging="539"/>
      </w:pPr>
      <w:r>
        <w:t xml:space="preserve">A: </w:t>
      </w:r>
      <w:r>
        <w:tab/>
        <w:t xml:space="preserve">We anticipate that the lead case will be </w:t>
      </w:r>
      <w:r w:rsidR="00606900">
        <w:t xml:space="preserve">concluded by the </w:t>
      </w:r>
      <w:r w:rsidR="00B5245C">
        <w:t>mid-</w:t>
      </w:r>
      <w:r w:rsidR="00606900">
        <w:t xml:space="preserve"> 2018, however this is subject to change.  The actual timescale will be affected by how the investigation progresses</w:t>
      </w:r>
      <w:r w:rsidR="00A256D7">
        <w:t xml:space="preserve">, </w:t>
      </w:r>
      <w:r w:rsidR="009A7370">
        <w:t>which is</w:t>
      </w:r>
      <w:r w:rsidR="00A256D7">
        <w:t xml:space="preserve"> difficult to </w:t>
      </w:r>
      <w:r w:rsidR="00FA4485">
        <w:t>assess</w:t>
      </w:r>
      <w:r w:rsidR="00A256D7">
        <w:t xml:space="preserve"> at such an early stage. </w:t>
      </w:r>
    </w:p>
    <w:p w14:paraId="7C02917B" w14:textId="77777777" w:rsidR="00B3022C" w:rsidRDefault="00B3022C" w:rsidP="00463B88">
      <w:pPr>
        <w:pStyle w:val="numbering"/>
        <w:numPr>
          <w:ilvl w:val="0"/>
          <w:numId w:val="0"/>
        </w:numPr>
        <w:ind w:left="539" w:hanging="539"/>
      </w:pPr>
    </w:p>
    <w:p w14:paraId="0994082F" w14:textId="77777777" w:rsidR="00A256D7" w:rsidRPr="006F4817" w:rsidRDefault="00A256D7" w:rsidP="00463B88">
      <w:pPr>
        <w:pStyle w:val="numbering"/>
        <w:numPr>
          <w:ilvl w:val="0"/>
          <w:numId w:val="0"/>
        </w:numPr>
        <w:ind w:left="539" w:hanging="539"/>
        <w:rPr>
          <w:b/>
        </w:rPr>
      </w:pPr>
      <w:r w:rsidRPr="006F4817">
        <w:rPr>
          <w:b/>
        </w:rPr>
        <w:lastRenderedPageBreak/>
        <w:t xml:space="preserve">Q: </w:t>
      </w:r>
      <w:r w:rsidRPr="006F4817">
        <w:rPr>
          <w:b/>
        </w:rPr>
        <w:tab/>
        <w:t>My case is different, can it be considered individually now?</w:t>
      </w:r>
    </w:p>
    <w:p w14:paraId="0F0AA727" w14:textId="77777777" w:rsidR="00A256D7" w:rsidRDefault="00A256D7" w:rsidP="00463B88">
      <w:pPr>
        <w:pStyle w:val="numbering"/>
        <w:numPr>
          <w:ilvl w:val="0"/>
          <w:numId w:val="0"/>
        </w:numPr>
        <w:ind w:left="539" w:hanging="539"/>
      </w:pPr>
      <w:r>
        <w:t xml:space="preserve">A: </w:t>
      </w:r>
      <w:r>
        <w:tab/>
        <w:t xml:space="preserve">The lead case is likely to deal with the majority of issues. </w:t>
      </w:r>
      <w:r w:rsidR="009B6C61">
        <w:t>We would ask you to please bear with us until the lead case has been determined and the result of that is known. Then, i</w:t>
      </w:r>
      <w:r>
        <w:t xml:space="preserve">f you still feel that your case is substantially different </w:t>
      </w:r>
      <w:r w:rsidR="009B6C61">
        <w:t>from</w:t>
      </w:r>
      <w:r>
        <w:t xml:space="preserve"> the lead case</w:t>
      </w:r>
      <w:r w:rsidR="009B6C61">
        <w:t>,</w:t>
      </w:r>
      <w:r>
        <w:t xml:space="preserve"> you will have the opportunity to </w:t>
      </w:r>
      <w:r w:rsidR="009B6C61">
        <w:t>explain why</w:t>
      </w:r>
      <w:r>
        <w:t>. We will then review your case and</w:t>
      </w:r>
      <w:r w:rsidR="009B6C61">
        <w:t>,</w:t>
      </w:r>
      <w:r>
        <w:t xml:space="preserve"> if we agree it is substantially different</w:t>
      </w:r>
      <w:r w:rsidR="009B6C61">
        <w:t>,</w:t>
      </w:r>
      <w:r>
        <w:t xml:space="preserve"> it will be considered individually on its own merits. </w:t>
      </w:r>
    </w:p>
    <w:p w14:paraId="26BB3FDD" w14:textId="77777777" w:rsidR="00A256D7" w:rsidRPr="006F4817" w:rsidRDefault="00A256D7" w:rsidP="00463B88">
      <w:pPr>
        <w:pStyle w:val="numbering"/>
        <w:numPr>
          <w:ilvl w:val="0"/>
          <w:numId w:val="0"/>
        </w:numPr>
        <w:ind w:left="539" w:hanging="539"/>
        <w:rPr>
          <w:b/>
        </w:rPr>
      </w:pPr>
      <w:r w:rsidRPr="006F4817">
        <w:rPr>
          <w:b/>
        </w:rPr>
        <w:t>Q:</w:t>
      </w:r>
      <w:r w:rsidRPr="006F4817">
        <w:rPr>
          <w:b/>
        </w:rPr>
        <w:tab/>
        <w:t xml:space="preserve">The British Steel Pension Scheme and </w:t>
      </w:r>
      <w:r w:rsidR="009D2452" w:rsidRPr="006F4817">
        <w:rPr>
          <w:b/>
        </w:rPr>
        <w:t xml:space="preserve">complaints against it are attracting a lot of attention in the press and social media, will this assist my complaint? </w:t>
      </w:r>
    </w:p>
    <w:p w14:paraId="788DB9B4" w14:textId="77777777" w:rsidR="009D2452" w:rsidRPr="009D2452" w:rsidRDefault="009D2452" w:rsidP="009D2452">
      <w:pPr>
        <w:pStyle w:val="numbering"/>
        <w:numPr>
          <w:ilvl w:val="0"/>
          <w:numId w:val="0"/>
        </w:numPr>
        <w:ind w:left="539" w:hanging="539"/>
      </w:pPr>
      <w:r>
        <w:t>A:</w:t>
      </w:r>
      <w:r>
        <w:tab/>
      </w:r>
      <w:r w:rsidRPr="009D2452">
        <w:t xml:space="preserve">We are aware of the media coverage </w:t>
      </w:r>
      <w:r w:rsidR="00DF3C9F">
        <w:t>BSPS</w:t>
      </w:r>
      <w:r w:rsidRPr="009D2452">
        <w:t xml:space="preserve"> is currently attracting. The media coverage itself will not have an impact on the outcome of the complaints. The Pensions Ombudsman</w:t>
      </w:r>
      <w:r w:rsidR="009B6C61">
        <w:t xml:space="preserve"> is an impartial service and we</w:t>
      </w:r>
      <w:r w:rsidRPr="009D2452">
        <w:t xml:space="preserve"> consider complaints based on the </w:t>
      </w:r>
      <w:r w:rsidR="007F79EB" w:rsidRPr="009D2452">
        <w:t>facts</w:t>
      </w:r>
      <w:r w:rsidR="009B6C61">
        <w:t xml:space="preserve">; we will </w:t>
      </w:r>
      <w:r w:rsidR="00924761">
        <w:t>not</w:t>
      </w:r>
      <w:r w:rsidR="007E1AD1">
        <w:t xml:space="preserve"> be</w:t>
      </w:r>
      <w:r w:rsidR="00924761">
        <w:t xml:space="preserve"> swayed by the media attention</w:t>
      </w:r>
      <w:r w:rsidR="009B6C61">
        <w:t xml:space="preserve">. </w:t>
      </w:r>
    </w:p>
    <w:p w14:paraId="701A25F9" w14:textId="77777777" w:rsidR="009D2452" w:rsidRPr="006D3ECC" w:rsidRDefault="009D2452" w:rsidP="00C04F47">
      <w:pPr>
        <w:pStyle w:val="numbering"/>
        <w:numPr>
          <w:ilvl w:val="0"/>
          <w:numId w:val="0"/>
        </w:numPr>
        <w:ind w:left="539" w:hanging="539"/>
      </w:pPr>
    </w:p>
    <w:sectPr w:rsidR="009D2452" w:rsidRPr="006D3ECC" w:rsidSect="00AA2A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859E8" w14:textId="77777777" w:rsidR="00751B3A" w:rsidRDefault="00751B3A" w:rsidP="00462FC4">
      <w:pPr>
        <w:spacing w:after="0" w:line="240" w:lineRule="auto"/>
      </w:pPr>
      <w:r>
        <w:separator/>
      </w:r>
    </w:p>
  </w:endnote>
  <w:endnote w:type="continuationSeparator" w:id="0">
    <w:p w14:paraId="4D701C62" w14:textId="77777777" w:rsidR="00751B3A" w:rsidRDefault="00751B3A" w:rsidP="0046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24C36" w14:textId="77777777" w:rsidR="00751B3A" w:rsidRDefault="00751B3A" w:rsidP="00462FC4">
      <w:pPr>
        <w:spacing w:after="0" w:line="240" w:lineRule="auto"/>
      </w:pPr>
      <w:r>
        <w:separator/>
      </w:r>
    </w:p>
  </w:footnote>
  <w:footnote w:type="continuationSeparator" w:id="0">
    <w:p w14:paraId="13219B75" w14:textId="77777777" w:rsidR="00751B3A" w:rsidRDefault="00751B3A" w:rsidP="00462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94AA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848C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CA0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A8EB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E2A7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66C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AE5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6CB1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4E9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E2C6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82DE5"/>
    <w:multiLevelType w:val="hybridMultilevel"/>
    <w:tmpl w:val="CD7240DC"/>
    <w:lvl w:ilvl="0" w:tplc="60587A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27497"/>
    <w:multiLevelType w:val="hybridMultilevel"/>
    <w:tmpl w:val="2BF0D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106A5"/>
    <w:multiLevelType w:val="multilevel"/>
    <w:tmpl w:val="1E260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7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D2C75"/>
    <w:multiLevelType w:val="hybridMultilevel"/>
    <w:tmpl w:val="6C1CDDB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9C5358"/>
    <w:multiLevelType w:val="hybridMultilevel"/>
    <w:tmpl w:val="31A4D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F46C3"/>
    <w:multiLevelType w:val="multilevel"/>
    <w:tmpl w:val="DB4CA3B6"/>
    <w:lvl w:ilvl="0">
      <w:start w:val="1"/>
      <w:numFmt w:val="decimal"/>
      <w:pStyle w:val="numbering"/>
      <w:lvlText w:val="%1."/>
      <w:lvlJc w:val="left"/>
      <w:pPr>
        <w:ind w:left="539" w:hanging="53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851" w:hanging="3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5920C5"/>
    <w:multiLevelType w:val="hybridMultilevel"/>
    <w:tmpl w:val="CFF4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F6BDE"/>
    <w:multiLevelType w:val="hybridMultilevel"/>
    <w:tmpl w:val="DF22C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10879"/>
    <w:multiLevelType w:val="hybridMultilevel"/>
    <w:tmpl w:val="5532D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5AF"/>
    <w:multiLevelType w:val="hybridMultilevel"/>
    <w:tmpl w:val="385C9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2666E"/>
    <w:multiLevelType w:val="multilevel"/>
    <w:tmpl w:val="92C4E0CE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7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25609"/>
    <w:multiLevelType w:val="hybridMultilevel"/>
    <w:tmpl w:val="2200DFB0"/>
    <w:lvl w:ilvl="0" w:tplc="660099AE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accent4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C0A1D"/>
    <w:multiLevelType w:val="hybridMultilevel"/>
    <w:tmpl w:val="5970A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35E6C"/>
    <w:multiLevelType w:val="hybridMultilevel"/>
    <w:tmpl w:val="61FEE70A"/>
    <w:lvl w:ilvl="0" w:tplc="660099AE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accent4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F4114"/>
    <w:multiLevelType w:val="hybridMultilevel"/>
    <w:tmpl w:val="9D9617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3E67DF"/>
    <w:multiLevelType w:val="hybridMultilevel"/>
    <w:tmpl w:val="2DA68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855E0"/>
    <w:multiLevelType w:val="hybridMultilevel"/>
    <w:tmpl w:val="5C8C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0"/>
  </w:num>
  <w:num w:numId="4">
    <w:abstractNumId w:val="13"/>
  </w:num>
  <w:num w:numId="5">
    <w:abstractNumId w:val="18"/>
  </w:num>
  <w:num w:numId="6">
    <w:abstractNumId w:val="24"/>
  </w:num>
  <w:num w:numId="7">
    <w:abstractNumId w:val="14"/>
  </w:num>
  <w:num w:numId="8">
    <w:abstractNumId w:val="22"/>
  </w:num>
  <w:num w:numId="9">
    <w:abstractNumId w:val="16"/>
  </w:num>
  <w:num w:numId="10">
    <w:abstractNumId w:val="19"/>
  </w:num>
  <w:num w:numId="11">
    <w:abstractNumId w:val="11"/>
  </w:num>
  <w:num w:numId="12">
    <w:abstractNumId w:val="17"/>
  </w:num>
  <w:num w:numId="13">
    <w:abstractNumId w:val="26"/>
  </w:num>
  <w:num w:numId="14">
    <w:abstractNumId w:val="2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5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75"/>
    <w:rsid w:val="000039C9"/>
    <w:rsid w:val="000133AD"/>
    <w:rsid w:val="00026104"/>
    <w:rsid w:val="00026C73"/>
    <w:rsid w:val="000279F3"/>
    <w:rsid w:val="00043BCF"/>
    <w:rsid w:val="0006627B"/>
    <w:rsid w:val="00066475"/>
    <w:rsid w:val="00073C20"/>
    <w:rsid w:val="000750A1"/>
    <w:rsid w:val="00076C4D"/>
    <w:rsid w:val="000862CA"/>
    <w:rsid w:val="00090441"/>
    <w:rsid w:val="000963B3"/>
    <w:rsid w:val="000A3360"/>
    <w:rsid w:val="000A5EF9"/>
    <w:rsid w:val="000C69DC"/>
    <w:rsid w:val="000F1F77"/>
    <w:rsid w:val="000F6731"/>
    <w:rsid w:val="00110001"/>
    <w:rsid w:val="00111B06"/>
    <w:rsid w:val="00112380"/>
    <w:rsid w:val="0012574B"/>
    <w:rsid w:val="00127F60"/>
    <w:rsid w:val="0013360D"/>
    <w:rsid w:val="00135FC0"/>
    <w:rsid w:val="0013630E"/>
    <w:rsid w:val="001378AF"/>
    <w:rsid w:val="001476B3"/>
    <w:rsid w:val="001622BF"/>
    <w:rsid w:val="00174133"/>
    <w:rsid w:val="001909AE"/>
    <w:rsid w:val="001957FD"/>
    <w:rsid w:val="001A478D"/>
    <w:rsid w:val="001B08E5"/>
    <w:rsid w:val="001B18AC"/>
    <w:rsid w:val="001E4583"/>
    <w:rsid w:val="00220F12"/>
    <w:rsid w:val="00241622"/>
    <w:rsid w:val="00245BA3"/>
    <w:rsid w:val="002579D3"/>
    <w:rsid w:val="00264832"/>
    <w:rsid w:val="00266797"/>
    <w:rsid w:val="002A6AAB"/>
    <w:rsid w:val="002C22B0"/>
    <w:rsid w:val="002D3454"/>
    <w:rsid w:val="002D52AB"/>
    <w:rsid w:val="002D5F7C"/>
    <w:rsid w:val="002F2939"/>
    <w:rsid w:val="002F5030"/>
    <w:rsid w:val="003036FA"/>
    <w:rsid w:val="00332D09"/>
    <w:rsid w:val="00362BCB"/>
    <w:rsid w:val="00390A2D"/>
    <w:rsid w:val="003A2576"/>
    <w:rsid w:val="003A7B95"/>
    <w:rsid w:val="003D6011"/>
    <w:rsid w:val="00414A4D"/>
    <w:rsid w:val="00414D9D"/>
    <w:rsid w:val="00415BB3"/>
    <w:rsid w:val="00427978"/>
    <w:rsid w:val="004360A4"/>
    <w:rsid w:val="00457F35"/>
    <w:rsid w:val="0046226C"/>
    <w:rsid w:val="00462FC4"/>
    <w:rsid w:val="00463B88"/>
    <w:rsid w:val="004A5814"/>
    <w:rsid w:val="004D2DB3"/>
    <w:rsid w:val="004D5117"/>
    <w:rsid w:val="004E4A3F"/>
    <w:rsid w:val="004E5CBC"/>
    <w:rsid w:val="005030C1"/>
    <w:rsid w:val="0052559F"/>
    <w:rsid w:val="00525A83"/>
    <w:rsid w:val="0054748C"/>
    <w:rsid w:val="00550724"/>
    <w:rsid w:val="00565805"/>
    <w:rsid w:val="0058025A"/>
    <w:rsid w:val="005C201C"/>
    <w:rsid w:val="005E7A9B"/>
    <w:rsid w:val="0060337A"/>
    <w:rsid w:val="00604247"/>
    <w:rsid w:val="00606900"/>
    <w:rsid w:val="00623336"/>
    <w:rsid w:val="00625B2F"/>
    <w:rsid w:val="006418F2"/>
    <w:rsid w:val="0066313F"/>
    <w:rsid w:val="0066467C"/>
    <w:rsid w:val="006716E5"/>
    <w:rsid w:val="00674B47"/>
    <w:rsid w:val="00695948"/>
    <w:rsid w:val="006A6932"/>
    <w:rsid w:val="006C2E4B"/>
    <w:rsid w:val="006D3059"/>
    <w:rsid w:val="006D3ECC"/>
    <w:rsid w:val="006F11DA"/>
    <w:rsid w:val="006F4817"/>
    <w:rsid w:val="006F4DF0"/>
    <w:rsid w:val="0071350D"/>
    <w:rsid w:val="0071468F"/>
    <w:rsid w:val="0074706E"/>
    <w:rsid w:val="00750B66"/>
    <w:rsid w:val="00751B3A"/>
    <w:rsid w:val="007647F7"/>
    <w:rsid w:val="00765900"/>
    <w:rsid w:val="00784432"/>
    <w:rsid w:val="00787A75"/>
    <w:rsid w:val="0079383D"/>
    <w:rsid w:val="007A7BA7"/>
    <w:rsid w:val="007D1040"/>
    <w:rsid w:val="007E1AD1"/>
    <w:rsid w:val="007F6CB0"/>
    <w:rsid w:val="007F79EB"/>
    <w:rsid w:val="00801941"/>
    <w:rsid w:val="00822D0E"/>
    <w:rsid w:val="00852964"/>
    <w:rsid w:val="00867313"/>
    <w:rsid w:val="00870DFB"/>
    <w:rsid w:val="00871CCA"/>
    <w:rsid w:val="008B1EE3"/>
    <w:rsid w:val="008D18AE"/>
    <w:rsid w:val="008F365B"/>
    <w:rsid w:val="008F59F1"/>
    <w:rsid w:val="008F7116"/>
    <w:rsid w:val="009033CE"/>
    <w:rsid w:val="00924761"/>
    <w:rsid w:val="00940A79"/>
    <w:rsid w:val="00945269"/>
    <w:rsid w:val="009452B1"/>
    <w:rsid w:val="00951421"/>
    <w:rsid w:val="00954BE9"/>
    <w:rsid w:val="00972877"/>
    <w:rsid w:val="00976216"/>
    <w:rsid w:val="00991E6E"/>
    <w:rsid w:val="009A4419"/>
    <w:rsid w:val="009A7370"/>
    <w:rsid w:val="009B01FC"/>
    <w:rsid w:val="009B6C61"/>
    <w:rsid w:val="009C3C14"/>
    <w:rsid w:val="009C6CDB"/>
    <w:rsid w:val="009D2452"/>
    <w:rsid w:val="009D6442"/>
    <w:rsid w:val="009D7702"/>
    <w:rsid w:val="009F2913"/>
    <w:rsid w:val="00A02327"/>
    <w:rsid w:val="00A256D7"/>
    <w:rsid w:val="00A714D2"/>
    <w:rsid w:val="00A86E9F"/>
    <w:rsid w:val="00A87AC3"/>
    <w:rsid w:val="00A92914"/>
    <w:rsid w:val="00A95B6C"/>
    <w:rsid w:val="00AA2A8E"/>
    <w:rsid w:val="00AD7690"/>
    <w:rsid w:val="00AE32E2"/>
    <w:rsid w:val="00AF375A"/>
    <w:rsid w:val="00B234B7"/>
    <w:rsid w:val="00B3022C"/>
    <w:rsid w:val="00B36ED9"/>
    <w:rsid w:val="00B5245C"/>
    <w:rsid w:val="00B80F21"/>
    <w:rsid w:val="00B83EBF"/>
    <w:rsid w:val="00B904DB"/>
    <w:rsid w:val="00B962E4"/>
    <w:rsid w:val="00BC041C"/>
    <w:rsid w:val="00BC49CE"/>
    <w:rsid w:val="00C01698"/>
    <w:rsid w:val="00C01E22"/>
    <w:rsid w:val="00C04F47"/>
    <w:rsid w:val="00C1691D"/>
    <w:rsid w:val="00C21902"/>
    <w:rsid w:val="00C3702E"/>
    <w:rsid w:val="00C70634"/>
    <w:rsid w:val="00CA0134"/>
    <w:rsid w:val="00CC20B6"/>
    <w:rsid w:val="00CC3D1F"/>
    <w:rsid w:val="00CE246E"/>
    <w:rsid w:val="00CE4090"/>
    <w:rsid w:val="00D01CFC"/>
    <w:rsid w:val="00D05E2F"/>
    <w:rsid w:val="00D121B9"/>
    <w:rsid w:val="00D25B7D"/>
    <w:rsid w:val="00D63739"/>
    <w:rsid w:val="00D639B0"/>
    <w:rsid w:val="00D667B0"/>
    <w:rsid w:val="00D678C2"/>
    <w:rsid w:val="00D909AC"/>
    <w:rsid w:val="00DD3CAC"/>
    <w:rsid w:val="00DF0E27"/>
    <w:rsid w:val="00DF3C9F"/>
    <w:rsid w:val="00E04917"/>
    <w:rsid w:val="00E205DD"/>
    <w:rsid w:val="00E22350"/>
    <w:rsid w:val="00E3147A"/>
    <w:rsid w:val="00E442A9"/>
    <w:rsid w:val="00E576A5"/>
    <w:rsid w:val="00E61421"/>
    <w:rsid w:val="00E726A5"/>
    <w:rsid w:val="00E832DB"/>
    <w:rsid w:val="00EA49A0"/>
    <w:rsid w:val="00EE6606"/>
    <w:rsid w:val="00F13977"/>
    <w:rsid w:val="00F223A0"/>
    <w:rsid w:val="00F264E0"/>
    <w:rsid w:val="00F64106"/>
    <w:rsid w:val="00F77530"/>
    <w:rsid w:val="00FA0623"/>
    <w:rsid w:val="00FA4485"/>
    <w:rsid w:val="00FB7AD4"/>
    <w:rsid w:val="00FB7F9D"/>
    <w:rsid w:val="00FF652E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61F33D"/>
  <w15:chartTrackingRefBased/>
  <w15:docId w15:val="{E5B02C98-8B7C-4909-9B8D-FA042C89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83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A92914"/>
    <w:pPr>
      <w:keepNext/>
      <w:spacing w:before="480" w:line="400" w:lineRule="exac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8D18AE"/>
    <w:pPr>
      <w:keepNext/>
      <w:spacing w:before="480" w:line="320" w:lineRule="exact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link w:val="Heading3Char"/>
    <w:qFormat/>
    <w:rsid w:val="00076C4D"/>
    <w:pPr>
      <w:keepNext/>
      <w:spacing w:before="480" w:line="320" w:lineRule="exact"/>
      <w:outlineLvl w:val="2"/>
    </w:pPr>
    <w:rPr>
      <w:b/>
      <w:bCs/>
      <w:sz w:val="28"/>
      <w:szCs w:val="27"/>
      <w:lang w:eastAsia="en-GB"/>
    </w:rPr>
  </w:style>
  <w:style w:type="paragraph" w:styleId="Heading4">
    <w:name w:val="heading 4"/>
    <w:basedOn w:val="Normal"/>
    <w:link w:val="Heading4Char"/>
    <w:qFormat/>
    <w:rsid w:val="00076C4D"/>
    <w:pPr>
      <w:keepNext/>
      <w:spacing w:before="200"/>
      <w:outlineLvl w:val="3"/>
    </w:pPr>
    <w:rPr>
      <w:b/>
      <w:bCs/>
      <w:lang w:eastAsia="en-GB"/>
    </w:rPr>
  </w:style>
  <w:style w:type="paragraph" w:styleId="Heading5">
    <w:name w:val="heading 5"/>
    <w:basedOn w:val="Normal"/>
    <w:next w:val="Normal"/>
    <w:link w:val="Heading5Char"/>
    <w:rsid w:val="00127F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27F6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2914"/>
    <w:rPr>
      <w:rFonts w:cs="Arial"/>
      <w:b/>
      <w:bCs/>
      <w:kern w:val="32"/>
      <w:sz w:val="36"/>
      <w:szCs w:val="32"/>
    </w:rPr>
  </w:style>
  <w:style w:type="character" w:customStyle="1" w:styleId="Heading2Char">
    <w:name w:val="Heading 2 Char"/>
    <w:link w:val="Heading2"/>
    <w:rsid w:val="008D18AE"/>
    <w:rPr>
      <w:rFonts w:ascii="Arial" w:hAnsi="Arial" w:cs="Arial"/>
      <w:b/>
      <w:bCs/>
      <w:iCs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076C4D"/>
    <w:rPr>
      <w:b/>
      <w:bCs/>
      <w:sz w:val="28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rsid w:val="00076C4D"/>
    <w:rPr>
      <w:b/>
      <w:bCs/>
      <w:lang w:eastAsia="en-GB"/>
    </w:rPr>
  </w:style>
  <w:style w:type="character" w:customStyle="1" w:styleId="Heading5Char">
    <w:name w:val="Heading 5 Char"/>
    <w:basedOn w:val="DefaultParagraphFont"/>
    <w:link w:val="Heading5"/>
    <w:rsid w:val="00127F60"/>
    <w:rPr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27F60"/>
    <w:rPr>
      <w:b/>
      <w:bCs/>
      <w:sz w:val="22"/>
      <w:szCs w:val="22"/>
      <w:lang w:val="en-US"/>
    </w:rPr>
  </w:style>
  <w:style w:type="paragraph" w:styleId="Title">
    <w:name w:val="Title"/>
    <w:basedOn w:val="Normal"/>
    <w:link w:val="TitleChar"/>
    <w:rsid w:val="00127F60"/>
    <w:pPr>
      <w:jc w:val="center"/>
    </w:pPr>
    <w:rPr>
      <w:b/>
      <w:sz w:val="28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127F60"/>
    <w:rPr>
      <w:b/>
      <w:sz w:val="28"/>
      <w:u w:val="single"/>
      <w:lang w:eastAsia="en-GB"/>
    </w:rPr>
  </w:style>
  <w:style w:type="character" w:styleId="Strong">
    <w:name w:val="Strong"/>
    <w:rsid w:val="00127F60"/>
    <w:rPr>
      <w:b/>
      <w:bCs/>
    </w:rPr>
  </w:style>
  <w:style w:type="character" w:styleId="Emphasis">
    <w:name w:val="Emphasis"/>
    <w:rsid w:val="00127F60"/>
    <w:rPr>
      <w:i/>
      <w:iCs/>
    </w:rPr>
  </w:style>
  <w:style w:type="paragraph" w:styleId="ListParagraph">
    <w:name w:val="List Paragraph"/>
    <w:basedOn w:val="Normal"/>
    <w:uiPriority w:val="34"/>
    <w:rsid w:val="00822D0E"/>
    <w:pPr>
      <w:ind w:left="720"/>
      <w:contextualSpacing/>
    </w:pPr>
    <w:rPr>
      <w:rFonts w:eastAsia="Calibri"/>
      <w:szCs w:val="22"/>
    </w:rPr>
  </w:style>
  <w:style w:type="paragraph" w:customStyle="1" w:styleId="Heading1blue">
    <w:name w:val="Heading 1 (blue)"/>
    <w:basedOn w:val="Heading1"/>
    <w:qFormat/>
    <w:rsid w:val="008D18AE"/>
    <w:rPr>
      <w:color w:val="005798"/>
    </w:rPr>
  </w:style>
  <w:style w:type="paragraph" w:customStyle="1" w:styleId="Heading2blue">
    <w:name w:val="Heading 2 (blue)"/>
    <w:basedOn w:val="Heading2"/>
    <w:qFormat/>
    <w:rsid w:val="008D18AE"/>
    <w:rPr>
      <w:color w:val="005798"/>
    </w:rPr>
  </w:style>
  <w:style w:type="paragraph" w:customStyle="1" w:styleId="Heading3blue">
    <w:name w:val="Heading 3 (blue)"/>
    <w:basedOn w:val="Heading3"/>
    <w:qFormat/>
    <w:rsid w:val="008D18AE"/>
    <w:rPr>
      <w:color w:val="005798"/>
    </w:rPr>
  </w:style>
  <w:style w:type="paragraph" w:styleId="IntenseQuote">
    <w:name w:val="Intense Quote"/>
    <w:basedOn w:val="Normal"/>
    <w:next w:val="Normal"/>
    <w:link w:val="IntenseQuoteChar"/>
    <w:uiPriority w:val="30"/>
    <w:rsid w:val="00DF0E27"/>
    <w:pPr>
      <w:pBdr>
        <w:bottom w:val="single" w:sz="4" w:space="4" w:color="00A3AD" w:themeColor="accent1"/>
      </w:pBdr>
      <w:spacing w:before="200" w:after="280"/>
      <w:ind w:left="936" w:right="936"/>
    </w:pPr>
    <w:rPr>
      <w:b/>
      <w:bCs/>
      <w:i/>
      <w:iCs/>
      <w:color w:val="00A3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E27"/>
    <w:rPr>
      <w:rFonts w:ascii="Arial" w:hAnsi="Arial"/>
      <w:b/>
      <w:bCs/>
      <w:i/>
      <w:iCs/>
      <w:color w:val="00A3AD" w:themeColor="accent1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D121B9"/>
    <w:pPr>
      <w:ind w:left="720" w:right="567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D121B9"/>
    <w:rPr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B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2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FC4"/>
  </w:style>
  <w:style w:type="paragraph" w:styleId="Footer">
    <w:name w:val="footer"/>
    <w:basedOn w:val="Normal"/>
    <w:link w:val="FooterChar"/>
    <w:uiPriority w:val="99"/>
    <w:unhideWhenUsed/>
    <w:rsid w:val="00462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FC4"/>
  </w:style>
  <w:style w:type="character" w:styleId="SubtleReference">
    <w:name w:val="Subtle Reference"/>
    <w:basedOn w:val="DefaultParagraphFont"/>
    <w:uiPriority w:val="31"/>
    <w:rsid w:val="00DD3CAC"/>
    <w:rPr>
      <w:smallCaps/>
      <w:color w:val="7A9C3E" w:themeColor="accent2"/>
      <w:u w:val="single"/>
    </w:rPr>
  </w:style>
  <w:style w:type="character" w:styleId="IntenseReference">
    <w:name w:val="Intense Reference"/>
    <w:basedOn w:val="DefaultParagraphFont"/>
    <w:uiPriority w:val="32"/>
    <w:rsid w:val="00DD3CAC"/>
    <w:rPr>
      <w:b/>
      <w:bCs/>
      <w:smallCaps/>
      <w:color w:val="7A9C3E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DD3CAC"/>
    <w:rPr>
      <w:b/>
      <w:bCs/>
      <w:smallCaps/>
      <w:spacing w:val="5"/>
    </w:rPr>
  </w:style>
  <w:style w:type="paragraph" w:styleId="EndnoteText">
    <w:name w:val="endnote text"/>
    <w:basedOn w:val="Normal"/>
    <w:link w:val="EndnoteTextChar"/>
    <w:uiPriority w:val="99"/>
    <w:unhideWhenUsed/>
    <w:rsid w:val="0078443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84432"/>
    <w:rPr>
      <w:szCs w:val="20"/>
    </w:rPr>
  </w:style>
  <w:style w:type="character" w:styleId="EndnoteReference">
    <w:name w:val="endnote reference"/>
    <w:basedOn w:val="Heading6Char"/>
    <w:uiPriority w:val="99"/>
    <w:unhideWhenUsed/>
    <w:rsid w:val="00784432"/>
    <w:rPr>
      <w:rFonts w:ascii="Arial" w:hAnsi="Arial"/>
      <w:b/>
      <w:bCs/>
      <w:sz w:val="24"/>
      <w:szCs w:val="22"/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2F293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2939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4419"/>
    <w:rPr>
      <w:rFonts w:ascii="Arial" w:hAnsi="Arial"/>
      <w:sz w:val="24"/>
      <w:vertAlign w:val="superscript"/>
    </w:rPr>
  </w:style>
  <w:style w:type="paragraph" w:customStyle="1" w:styleId="AddressandSignature">
    <w:name w:val="Address and Signature"/>
    <w:basedOn w:val="Normal"/>
    <w:next w:val="Normal"/>
    <w:qFormat/>
    <w:rsid w:val="00A87AC3"/>
    <w:pPr>
      <w:spacing w:after="0" w:line="24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A92914"/>
    <w:rPr>
      <w:color w:val="000000" w:themeColor="hyperlink"/>
      <w:u w:val="single"/>
    </w:rPr>
  </w:style>
  <w:style w:type="paragraph" w:customStyle="1" w:styleId="numbering">
    <w:name w:val="numbering"/>
    <w:basedOn w:val="Normal"/>
    <w:link w:val="numberingChar"/>
    <w:rsid w:val="00A92914"/>
    <w:pPr>
      <w:numPr>
        <w:numId w:val="25"/>
      </w:numPr>
    </w:pPr>
  </w:style>
  <w:style w:type="paragraph" w:customStyle="1" w:styleId="numbered">
    <w:name w:val="numbered"/>
    <w:basedOn w:val="numbering"/>
    <w:link w:val="numberedChar"/>
    <w:qFormat/>
    <w:rsid w:val="009C6CDB"/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bulletedlist">
    <w:name w:val="bulleted list"/>
    <w:basedOn w:val="Normal"/>
    <w:qFormat/>
    <w:rsid w:val="00940A79"/>
    <w:pPr>
      <w:numPr>
        <w:numId w:val="26"/>
      </w:numPr>
      <w:ind w:left="357" w:hanging="357"/>
    </w:pPr>
  </w:style>
  <w:style w:type="character" w:customStyle="1" w:styleId="numberingChar">
    <w:name w:val="numbering Char"/>
    <w:basedOn w:val="DefaultParagraphFont"/>
    <w:link w:val="numbering"/>
    <w:rsid w:val="00A92914"/>
  </w:style>
  <w:style w:type="character" w:customStyle="1" w:styleId="numberedChar">
    <w:name w:val="numbered Char"/>
    <w:basedOn w:val="numberingChar"/>
    <w:link w:val="numbered"/>
    <w:rsid w:val="009C6CDB"/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CommentReference">
    <w:name w:val="annotation reference"/>
    <w:basedOn w:val="DefaultParagraphFont"/>
    <w:uiPriority w:val="99"/>
    <w:semiHidden/>
    <w:unhideWhenUsed/>
    <w:rsid w:val="00220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F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F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F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ensions-ombudsman.org.uk/our-service/make-a-complaint/" TargetMode="External"/></Relationships>
</file>

<file path=word/theme/theme1.xml><?xml version="1.0" encoding="utf-8"?>
<a:theme xmlns:a="http://schemas.openxmlformats.org/drawingml/2006/main" name="Office Theme">
  <a:themeElements>
    <a:clrScheme name="PO Theme">
      <a:dk1>
        <a:srgbClr val="006FA0"/>
      </a:dk1>
      <a:lt1>
        <a:srgbClr val="56585A"/>
      </a:lt1>
      <a:dk2>
        <a:srgbClr val="F26B3E"/>
      </a:dk2>
      <a:lt2>
        <a:srgbClr val="E34A9B"/>
      </a:lt2>
      <a:accent1>
        <a:srgbClr val="00A3AD"/>
      </a:accent1>
      <a:accent2>
        <a:srgbClr val="7A9C3E"/>
      </a:accent2>
      <a:accent3>
        <a:srgbClr val="916E4F"/>
      </a:accent3>
      <a:accent4>
        <a:srgbClr val="000000"/>
      </a:accent4>
      <a:accent5>
        <a:srgbClr val="FFFFFF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E3BD-A74F-47EB-895B-4E82EEA5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Batty</dc:creator>
  <cp:keywords/>
  <dc:description/>
  <cp:lastModifiedBy>Aimee Richards</cp:lastModifiedBy>
  <cp:revision>2</cp:revision>
  <cp:lastPrinted>2018-02-05T16:46:00Z</cp:lastPrinted>
  <dcterms:created xsi:type="dcterms:W3CDTF">2018-02-08T11:12:00Z</dcterms:created>
  <dcterms:modified xsi:type="dcterms:W3CDTF">2018-02-08T11:12:00Z</dcterms:modified>
</cp:coreProperties>
</file>